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自然地理学原理</w:t>
      </w:r>
    </w:p>
    <w:p>
      <w:r>
        <w:rPr>
          <w:rFonts w:ascii="宋体" w:hAnsi="宋体" w:eastAsia="宋体"/>
          <w:sz w:val="24"/>
        </w:rPr>
        <w:t>（美）A.N.斯特拉勒，A.H.斯特拉勒著；田连怒，刘育民，刘继韩等译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自然地理学原理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（美）A.N.斯特拉勒，A.H.斯特拉勒著；田连怒，刘育民，刘继韩等译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本书出售、求购地址：https://www.jiaokey.com/book/detail/14138604.html</w:t>
      </w:r>
    </w:p>
    <w:p>
      <w:r>
        <w:t>更多相关图书推荐：https://www.jiaokey.com</w:t>
      </w:r>
    </w:p>
    <w:p>
      <w:r>
        <w:t>（美）A.N.斯特拉勒，A.H.斯特拉勒著；田连怒，刘育民，刘继韩等译 其他作品：https://www.jiaokey.com/tag/（美）A.N.斯特拉勒，A.H.斯特拉勒著；田连怒，刘育民，刘继韩等译.html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关键词搜索：https://www.jiaokey.com/tag/自然地理学原理.html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