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人力资本与中国区域经济差异</w:t>
      </w:r>
    </w:p>
    <w:p>
      <w:r>
        <w:rPr>
          <w:rFonts w:ascii="宋体" w:hAnsi="宋体" w:eastAsia="宋体"/>
          <w:sz w:val="24"/>
        </w:rPr>
        <w:t>彭朝晖，杨开忠著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人力资本与中国区域经济差异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彭朝晖，杨开忠著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吉林出版集团股份有限公司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本书出售、求购地址：https://www.jiaokey.com/book/detail/14135432.html</w:t>
      </w:r>
    </w:p>
    <w:p>
      <w:r>
        <w:t>更多相关图书推荐：https://www.jiaokey.com</w:t>
      </w:r>
    </w:p>
    <w:p>
      <w:r>
        <w:t>彭朝晖，杨开忠著 其他作品：https://www.jiaokey.com/tag/彭朝晖，杨开忠著.html</w:t>
      </w:r>
    </w:p>
    <w:p>
      <w:r>
        <w:t>吉林出版集团股份有限公司 出版图书：https://www.jiaokey.com/tag/吉林出版集团股份有限公司.html</w:t>
      </w:r>
    </w:p>
    <w:p>
      <w:r>
        <w:t>关键词搜索：https://www.jiaokey.com/tag/人力资本与中国区域经济差异.html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