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中国经济波动与通货膨胀  投资 、金融 、财政 、工资 、理论与实证</w:t>
      </w:r>
    </w:p>
    <w:p>
      <w:r>
        <w:rPr>
          <w:rFonts w:ascii="宋体" w:hAnsi="宋体" w:eastAsia="宋体"/>
          <w:sz w:val="24"/>
        </w:rPr>
        <w:t>孙力军著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中国经济波动与通货膨胀  投资 、金融 、财政 、工资 、理论与实证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本书出售、求购地址：https://www.jiaokey.com/book/detail/14135427.html</w:t>
      </w:r>
    </w:p>
    <w:p>
      <w:r>
        <w:t>更多相关图书推荐：https://www.jiaokey.com</w:t>
      </w:r>
    </w:p>
    <w:p>
      <w:r>
        <w:t>孙力军著 其他作品：https://www.jiaokey.com/tag/孙力军著.html</w:t>
      </w:r>
    </w:p>
    <w:p>
      <w:r>
        <w:t>关键词搜索：https://www.jiaokey.com/tag/中国经济波动与通货膨胀  投资 、金融 、财政 、工资 、理论与实证.html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