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CS3案例教程</w:t>
      </w:r>
    </w:p>
    <w:p>
      <w:r>
        <w:rPr>
          <w:rFonts w:ascii="宋体" w:hAnsi="宋体" w:eastAsia="宋体"/>
          <w:sz w:val="24"/>
        </w:rPr>
        <w:t>刘斯主编；许碧玉，王文华，王爱欣副主编；繆朱明主审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刘斯主编；许碧玉，王文华，王爱欣副主编；繆朱明主审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本书出售、求购地址：https://www.jiaokey.com/book/detail/14134029.html</w:t>
      </w:r>
    </w:p>
    <w:p>
      <w:r>
        <w:t>更多相关图书推荐：https://www.jiaokey.com</w:t>
      </w:r>
    </w:p>
    <w:p>
      <w:r>
        <w:t>刘斯主编；许碧玉，王文华，王爱欣副主编；繆朱明主审 其他作品：https://www.jiaokey.com/tag/刘斯主编；许碧玉，王文华，王爱欣副主编；繆朱明主审.html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CS3案例教程.html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