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我们仍是一家人  孩子成年后对父母离婚有何意见</w:t>
      </w:r>
    </w:p>
    <w:p>
      <w:r>
        <w:rPr>
          <w:rFonts w:ascii="宋体" w:hAnsi="宋体" w:eastAsia="宋体"/>
          <w:sz w:val="24"/>
        </w:rPr>
        <w:t>CONSTANCE AHRONS著；杨淑智译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我们仍是一家人  孩子成年后对父母离婚有何意见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CONSTANCE AHRONS著；杨淑智译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新视野图书出版有限公司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本书出售、求购地址：https://www.jiaokey.com/book/detail/14132891.html</w:t>
      </w:r>
    </w:p>
    <w:p>
      <w:r>
        <w:t>更多相关图书推荐：https://www.jiaokey.com</w:t>
      </w:r>
    </w:p>
    <w:p>
      <w:r>
        <w:t>CONSTANCE AHRONS著；杨淑智译 其他作品：https://www.jiaokey.com/tag/CONSTANCE AHRONS著；杨淑智译.html</w:t>
      </w:r>
    </w:p>
    <w:p>
      <w:r>
        <w:t>新视野图书出版有限公司 出版图书：https://www.jiaokey.com/tag/新视野图书出版有限公司.html</w:t>
      </w:r>
    </w:p>
    <w:p>
      <w:r>
        <w:t>关键词搜索：https://www.jiaokey.com/tag/我们仍是一家人  孩子成年后对父母离婚有何意见.html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