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非营利部门  组织与运作  精简本</w:t>
      </w:r>
    </w:p>
    <w:p>
      <w:r>
        <w:rPr>
          <w:rFonts w:ascii="宋体" w:hAnsi="宋体" w:eastAsia="宋体"/>
          <w:sz w:val="24"/>
        </w:rPr>
        <w:t>萧新煌，官有垣，陆宛蘋著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非营利部门  组织与运作  精简本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萧新煌，官有垣，陆宛蘋著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本书出售、求购地址：https://www.jiaokey.com/book/detail/14132866.html</w:t>
      </w:r>
    </w:p>
    <w:p>
      <w:r>
        <w:t>更多相关图书推荐：https://www.jiaokey.com</w:t>
      </w:r>
    </w:p>
    <w:p>
      <w:r>
        <w:t>萧新煌，官有垣，陆宛蘋著 其他作品：https://www.jiaokey.com/tag/萧新煌，官有垣，陆宛蘋著.html</w:t>
      </w:r>
    </w:p>
    <w:p>
      <w:r>
        <w:t>巨流图书股份有限公司 出版图书：https://www.jiaokey.com/tag/巨流图书股份有限公司.html</w:t>
      </w:r>
    </w:p>
    <w:p>
      <w:r>
        <w:t>关键词搜索：https://www.jiaokey.com/tag/非营利部门  组织与运作  精简本.html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