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供药学类专业用  案例版</w:t>
      </w:r>
    </w:p>
    <w:p>
      <w:r>
        <w:rPr>
          <w:rFonts w:ascii="宋体" w:hAnsi="宋体" w:eastAsia="宋体"/>
          <w:sz w:val="24"/>
        </w:rPr>
        <w:t>王秀芳，王惠云主编；沈雪松，王登奎，田青平副主编；马丽英等编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供药学类专业用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王秀芳，王惠云主编；沈雪松，王登奎，田青平副主编；马丽英等编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本书出售、求购地址：https://www.jiaokey.com/book/detail/14131128.html</w:t>
      </w:r>
    </w:p>
    <w:p>
      <w:r>
        <w:t>更多相关图书推荐：https://www.jiaokey.com</w:t>
      </w:r>
    </w:p>
    <w:p>
      <w:r>
        <w:t>王秀芳，王惠云主编；沈雪松，王登奎，田青平副主编；马丽英等编 其他作品：https://www.jiaokey.com/tag/王秀芳，王惠云主编；沈雪松，王登奎，田青平副主编；马丽英等编.html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  供药学类专业用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