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大学生创业教育导论</w:t>
      </w:r>
    </w:p>
    <w:p>
      <w:r>
        <w:rPr>
          <w:rFonts w:ascii="宋体" w:hAnsi="宋体" w:eastAsia="宋体"/>
          <w:sz w:val="24"/>
        </w:rPr>
        <w:t>张应辉，康桂花，喻超，徐建华，朱燕辉，孟雯，沈洪科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张应辉，康桂花，喻超，徐建华，朱燕辉，孟雯，沈洪科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本书出售、求购地址：https://www.jiaokey.com/book/detail/14130936.html</w:t>
      </w:r>
    </w:p>
    <w:p>
      <w:r>
        <w:t>更多相关图书推荐：https://www.jiaokey.com</w:t>
      </w:r>
    </w:p>
    <w:p>
      <w:r>
        <w:t>张应辉，康桂花，喻超，徐建华，朱燕辉，孟雯，沈洪科 其他作品：https://www.jiaokey.com/tag/张应辉，康桂花，喻超，徐建华，朱燕辉，孟雯，沈洪科.html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