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政务微博中热点事件信息透明化影响机制</w:t>
      </w:r>
    </w:p>
    <w:p>
      <w:r>
        <w:rPr>
          <w:rFonts w:ascii="宋体" w:hAnsi="宋体" w:eastAsia="宋体"/>
          <w:sz w:val="24"/>
        </w:rPr>
        <w:t>刘雪艳著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政务微博中热点事件信息透明化影响机制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本书出售、求购地址：https://www.jiaokey.com/book/detail/14129351.html</w:t>
      </w:r>
    </w:p>
    <w:p>
      <w:r>
        <w:t>更多相关图书推荐：https://www.jiaokey.com</w:t>
      </w:r>
    </w:p>
    <w:p>
      <w:r>
        <w:t>刘雪艳著 其他作品：https://www.jiaokey.com/tag/刘雪艳著.html</w:t>
      </w:r>
    </w:p>
    <w:p>
      <w:r>
        <w:t>关键词搜索：https://www.jiaokey.com/tag/政务微博中热点事件信息透明化影响机制.html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