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巴迪欧  关键概念</w:t>
      </w:r>
    </w:p>
    <w:p>
      <w:r>
        <w:rPr>
          <w:rFonts w:ascii="宋体" w:hAnsi="宋体" w:eastAsia="宋体"/>
          <w:sz w:val="24"/>
        </w:rPr>
        <w:t>（澳）A，J，巴特雷，（澳）尤斯丁·克莱门斯编；蓝江译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巴迪欧  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（澳）A，J，巴特雷，（澳）尤斯丁·克莱门斯编；蓝江译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本书出售、求购地址：https://www.jiaokey.com/book/detail/14128167.html</w:t>
      </w:r>
    </w:p>
    <w:p>
      <w:r>
        <w:t>更多相关图书推荐：https://www.jiaokey.com</w:t>
      </w:r>
    </w:p>
    <w:p>
      <w:r>
        <w:t>（澳）A，J，巴特雷，（澳）尤斯丁·克莱门斯编；蓝江译 其他作品：https://www.jiaokey.com/tag/（澳）A，J，巴特雷，（澳）尤斯丁·克莱门斯编；蓝江译.html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关键词搜索：https://www.jiaokey.com/tag/巴迪欧  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