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海上油（气）田开发工程水文气象和场地勘察通用技术规程</w:t>
      </w:r>
    </w:p>
    <w:p>
      <w:r>
        <w:rPr>
          <w:rFonts w:ascii="宋体" w:hAnsi="宋体" w:eastAsia="宋体"/>
          <w:sz w:val="24"/>
        </w:rPr>
        <w:t>《海上油（气）田开发工程水文气象和场地勘察通用技术规程》编委会编著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海上油（气）田开发工程水文气象和场地勘察通用技术规程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《海上油（气）田开发工程水文气象和场地勘察通用技术规程》编委会编著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本书出售、求购地址：https://www.jiaokey.com/book/detail/14126997.html</w:t>
      </w:r>
    </w:p>
    <w:p>
      <w:r>
        <w:t>更多相关图书推荐：https://www.jiaokey.com</w:t>
      </w:r>
    </w:p>
    <w:p>
      <w:r>
        <w:t>《海上油（气）田开发工程水文气象和场地勘察通用技术规程》编委会编著 其他作品：https://www.jiaokey.com/tag/《海上油（气）田开发工程水文气象和场地勘察通用技术规程》编委会编著.html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关键词搜索：https://www.jiaokey.com/tag/海上油（气）田开发工程水文气象和场地勘察通用技术规程.html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