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大陆台商的族群认同与公民身分  一个于东莞、昆山所进行之场域论的田野研究</w:t>
      </w:r>
    </w:p>
    <w:p>
      <w:r>
        <w:rPr>
          <w:rFonts w:ascii="宋体" w:hAnsi="宋体" w:eastAsia="宋体"/>
          <w:sz w:val="24"/>
        </w:rPr>
        <w:t>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大陆台商的族群认同与公民身分  一个于东莞、昆山所进行之场域论的田野研究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本书出售、求购地址：https://www.jiaokey.com/book/detail/14121618.html</w:t>
      </w:r>
    </w:p>
    <w:p>
      <w:r>
        <w:t>更多相关图书推荐：https://www.jiaokey.com</w:t>
      </w:r>
    </w:p>
    <w:p>
      <w:r>
        <w:t>卫民著 其他作品：https://www.jiaokey.com/tag/卫民著.html</w:t>
      </w:r>
    </w:p>
    <w:p>
      <w:r>
        <w:t>华艺学术出版社 出版图书：https://www.jiaokey.com/tag/华艺学术出版社.html</w:t>
      </w:r>
    </w:p>
    <w:p>
      <w:r>
        <w:t>关键词搜索：https://www.jiaokey.com/tag/大陆台商的族群认同与公民身分  一个于东莞、昆山所进行之场域论的田野研究.html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