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城市价值创造  “多规合一”与城市运营模式</w:t>
      </w:r>
    </w:p>
    <w:p>
      <w:r>
        <w:rPr>
          <w:rFonts w:ascii="宋体" w:hAnsi="宋体" w:eastAsia="宋体"/>
          <w:sz w:val="24"/>
        </w:rPr>
        <w:t>林竹著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城市价值创造  “多规合一”与城市运营模式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本书出售、求购地址：https://www.jiaokey.com/book/detail/14121571.html</w:t>
      </w:r>
    </w:p>
    <w:p>
      <w:r>
        <w:t>更多相关图书推荐：https://www.jiaokey.com</w:t>
      </w:r>
    </w:p>
    <w:p>
      <w:r>
        <w:t>林竹著 其他作品：https://www.jiaokey.com/tag/林竹著.html</w:t>
      </w:r>
    </w:p>
    <w:p>
      <w:r>
        <w:t>中信出版集团 出版图书：https://www.jiaokey.com/tag/中信出版集团.html</w:t>
      </w:r>
    </w:p>
    <w:p>
      <w:r>
        <w:t>关键词搜索：https://www.jiaokey.com/tag/城市价值创造  “多规合一”与城市运营模式.html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