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中国绘画名家个安研究  刘国松  上</w:t>
      </w:r>
    </w:p>
    <w:p>
      <w:r>
        <w:rPr>
          <w:rFonts w:ascii="宋体" w:hAnsi="宋体" w:eastAsia="宋体"/>
          <w:sz w:val="24"/>
        </w:rPr>
        <w:t>梅墨生主编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中国绘画名家个安研究  刘国松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大家良友书局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本书出售、求购地址：https://www.jiaokey.com/book/detail/14119160.html</w:t>
      </w:r>
    </w:p>
    <w:p>
      <w:r>
        <w:t>更多相关图书推荐：https://www.jiaokey.com</w:t>
      </w:r>
    </w:p>
    <w:p>
      <w:r>
        <w:t>梅墨生主编 其他作品：https://www.jiaokey.com/tag/梅墨生主编.html</w:t>
      </w:r>
    </w:p>
    <w:p>
      <w:r>
        <w:t>大家良友书局 出版图书：https://www.jiaokey.com/tag/大家良友书局.html</w:t>
      </w:r>
    </w:p>
    <w:p>
      <w:r>
        <w:t>关键词搜索：https://www.jiaokey.com/tag/中国绘画名家个安研究  刘国松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