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  上</w:t>
      </w:r>
    </w:p>
    <w:p>
      <w:r>
        <w:rPr>
          <w:rFonts w:ascii="宋体" w:hAnsi="宋体" w:eastAsia="宋体"/>
          <w:sz w:val="24"/>
        </w:rPr>
        <w:t>张郢峰主编；郗伟，闫晓前，张瑞鹏副主编；刘耀鹏主审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张郢峰主编；郗伟，闫晓前，张瑞鹏副主编；刘耀鹏主审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本书出售、求购地址：https://www.jiaokey.com/book/detail/14117938.html</w:t>
      </w:r>
    </w:p>
    <w:p>
      <w:r>
        <w:t>更多相关图书推荐：https://www.jiaokey.com</w:t>
      </w:r>
    </w:p>
    <w:p>
      <w:r>
        <w:t>张郢峰主编；郗伟，闫晓前，张瑞鹏副主编；刘耀鹏主审 其他作品：https://www.jiaokey.com/tag/张郢峰主编；郗伟，闫晓前，张瑞鹏副主编；刘耀鹏主审.html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关键词搜索：https://www.jiaokey.com/tag/化工单元操作技术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