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破产审判手册</w:t>
      </w:r>
    </w:p>
    <w:p>
      <w:r>
        <w:rPr>
          <w:rFonts w:ascii="宋体" w:hAnsi="宋体" w:eastAsia="宋体"/>
          <w:sz w:val="24"/>
        </w:rPr>
        <w:t>广东省深圳市中级人民法院公司清算和破产审判庭编；郭毅敏主编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破产审判手册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广东省深圳市中级人民法院公司清算和破产审判庭编；郭毅敏主编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本书出售、求购地址：https://www.jiaokey.com/book/detail/14117423.html</w:t>
      </w:r>
    </w:p>
    <w:p>
      <w:r>
        <w:t>更多相关图书推荐：https://www.jiaokey.com</w:t>
      </w:r>
    </w:p>
    <w:p>
      <w:r>
        <w:t>广东省深圳市中级人民法院公司清算和破产审判庭编；郭毅敏主编 其他作品：https://www.jiaokey.com/tag/广东省深圳市中级人民法院公司清算和破产审判庭编；郭毅敏主编.html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关键词搜索：https://www.jiaokey.com/tag/破产审判手册.html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