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法律问题  研究结论  全集  民事法部分</w:t>
      </w:r>
    </w:p>
    <w:p>
      <w:r>
        <w:rPr>
          <w:rFonts w:ascii="宋体" w:hAnsi="宋体" w:eastAsia="宋体"/>
          <w:sz w:val="24"/>
        </w:rPr>
        <w:t>施茂林，刘清景合著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法律问题  研究结论  全集  民事法部分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施茂林，刘清景合著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本书出售、求购地址：https://www.jiaokey.com/book/detail/14115754.html</w:t>
      </w:r>
    </w:p>
    <w:p>
      <w:r>
        <w:t>更多相关图书推荐：https://www.jiaokey.com</w:t>
      </w:r>
    </w:p>
    <w:p>
      <w:r>
        <w:t>施茂林，刘清景合著 其他作品：https://www.jiaokey.com/tag/施茂林，刘清景合著.html</w:t>
      </w:r>
    </w:p>
    <w:p>
      <w:r>
        <w:t>大伟书局 出版图书：https://www.jiaokey.com/tag/大伟书局.html</w:t>
      </w:r>
    </w:p>
    <w:p>
      <w:r>
        <w:t>关键词搜索：https://www.jiaokey.com/tag/法律问题  研究结论  全集  民事法部分.html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