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民事程序法  立法理由  判解决议  令函释示  实务问题汇编</w:t>
      </w:r>
    </w:p>
    <w:p>
      <w:r>
        <w:rPr>
          <w:rFonts w:ascii="宋体" w:hAnsi="宋体" w:eastAsia="宋体"/>
          <w:sz w:val="24"/>
        </w:rPr>
        <w:t>蔡墩铭主编；李永然编辑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民事程序法  立法理由  判解决议  令函释示  实务问题汇编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蔡墩铭主编；李永然编辑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本书出售、求购地址：https://www.jiaokey.com/book/detail/14115712.html</w:t>
      </w:r>
    </w:p>
    <w:p>
      <w:r>
        <w:t>更多相关图书推荐：https://www.jiaokey.com</w:t>
      </w:r>
    </w:p>
    <w:p>
      <w:r>
        <w:t>蔡墩铭主编；李永然编辑 其他作品：https://www.jiaokey.com/tag/蔡墩铭主编；李永然编辑.html</w:t>
      </w:r>
    </w:p>
    <w:p>
      <w:r>
        <w:t>五南图书出版社 出版图书：https://www.jiaokey.com/tag/五南图书出版社.html</w:t>
      </w:r>
    </w:p>
    <w:p>
      <w:r>
        <w:t>关键词搜索：https://www.jiaokey.com/tag/民事程序法  立法理由  判解决议  令函释示  实务问题汇编.html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