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连续犯规定应否废除暨其法律适用问题</w:t>
      </w:r>
    </w:p>
    <w:p>
      <w:r>
        <w:rPr>
          <w:rFonts w:ascii="宋体" w:hAnsi="宋体" w:eastAsia="宋体"/>
          <w:sz w:val="24"/>
        </w:rPr>
        <w:t>蔡碧玉等著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连续犯规定应否废除暨其法律适用问题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蔡碧玉等著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台湾刑事法学会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本书出售、求购地址：https://www.jiaokey.com/book/detail/14113492.html</w:t>
      </w:r>
    </w:p>
    <w:p>
      <w:r>
        <w:t>更多相关图书推荐：https://www.jiaokey.com</w:t>
      </w:r>
    </w:p>
    <w:p>
      <w:r>
        <w:t>蔡碧玉等著 其他作品：https://www.jiaokey.com/tag/蔡碧玉等著.html</w:t>
      </w:r>
    </w:p>
    <w:p>
      <w:r>
        <w:t>台湾刑事法学会 出版图书：https://www.jiaokey.com/tag/台湾刑事法学会.html</w:t>
      </w:r>
    </w:p>
    <w:p>
      <w:r>
        <w:t>关键词搜索：https://www.jiaokey.com/tag/连续犯规定应否废除暨其法律适用问题.html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