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资讯法制、土地规划与损失补偿之新趋势</w:t>
      </w:r>
    </w:p>
    <w:p>
      <w:r>
        <w:rPr>
          <w:rFonts w:ascii="宋体" w:hAnsi="宋体" w:eastAsia="宋体"/>
          <w:sz w:val="24"/>
        </w:rPr>
        <w:t>陈爱娥等著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资讯法制、土地规划与损失补偿之新趋势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台湾行政法学会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本书出售、求购地址：https://www.jiaokey.com/book/detail/14113388.html</w:t>
      </w:r>
    </w:p>
    <w:p>
      <w:r>
        <w:t>更多相关图书推荐：https://www.jiaokey.com</w:t>
      </w:r>
    </w:p>
    <w:p>
      <w:r>
        <w:t>陈爱娥等著 其他作品：https://www.jiaokey.com/tag/陈爱娥等著.html</w:t>
      </w:r>
    </w:p>
    <w:p>
      <w:r>
        <w:t>台湾行政法学会 出版图书：https://www.jiaokey.com/tag/台湾行政法学会.html</w:t>
      </w:r>
    </w:p>
    <w:p>
      <w:r>
        <w:t>关键词搜索：https://www.jiaokey.com/tag/资讯法制、土地规划与损失补偿之新趋势.html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