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民法实务问题  继承编</w:t>
      </w:r>
    </w:p>
    <w:p>
      <w:r>
        <w:rPr>
          <w:rFonts w:ascii="宋体" w:hAnsi="宋体" w:eastAsia="宋体"/>
          <w:sz w:val="24"/>
        </w:rPr>
        <w:t>萧长青，吕壬棠著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民法实务问题  继承编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萧长青，吕壬棠著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大嘉印刷公司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本书出售、求购地址：https://www.jiaokey.com/book/detail/14112279.html</w:t>
      </w:r>
    </w:p>
    <w:p>
      <w:r>
        <w:t>更多相关图书推荐：https://www.jiaokey.com</w:t>
      </w:r>
    </w:p>
    <w:p>
      <w:r>
        <w:t>萧长青，吕壬棠著 其他作品：https://www.jiaokey.com/tag/萧长青，吕壬棠著.html</w:t>
      </w:r>
    </w:p>
    <w:p>
      <w:r>
        <w:t>大嘉印刷公司 出版图书：https://www.jiaokey.com/tag/大嘉印刷公司.html</w:t>
      </w:r>
    </w:p>
    <w:p>
      <w:r>
        <w:t>关键词搜索：https://www.jiaokey.com/tag/民法实务问题  继承编.html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