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金钱债权之确保与实现  债权人须知</w:t>
      </w:r>
    </w:p>
    <w:p>
      <w:r>
        <w:rPr>
          <w:rFonts w:ascii="宋体" w:hAnsi="宋体" w:eastAsia="宋体"/>
          <w:sz w:val="24"/>
        </w:rPr>
        <w:t>吴光陆著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金钱债权之确保与实现  债权人须知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全国各大书局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本书出售、求购地址：https://www.jiaokey.com/book/detail/14112256.html</w:t>
      </w:r>
    </w:p>
    <w:p>
      <w:r>
        <w:t>更多相关图书推荐：https://www.jiaokey.com</w:t>
      </w:r>
    </w:p>
    <w:p>
      <w:r>
        <w:t>吴光陆著 其他作品：https://www.jiaokey.com/tag/吴光陆著.html</w:t>
      </w:r>
    </w:p>
    <w:p>
      <w:r>
        <w:t>全国各大书局 出版图书：https://www.jiaokey.com/tag/全国各大书局.html</w:t>
      </w:r>
    </w:p>
    <w:p>
      <w:r>
        <w:t>关键词搜索：https://www.jiaokey.com/tag/金钱债权之确保与实现  债权人须知.html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