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经济法基础与应用</w:t>
      </w:r>
    </w:p>
    <w:p>
      <w:r>
        <w:rPr>
          <w:rFonts w:ascii="宋体" w:hAnsi="宋体" w:eastAsia="宋体"/>
          <w:sz w:val="24"/>
        </w:rPr>
        <w:t>闫春荣主编；梁英瑜，邱海萍，于晶，杨铁铮，李邦帅副主编；陈丹丹，顾爱春主审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闫春荣主编；梁英瑜，邱海萍，于晶，杨铁铮，李邦帅副主编；陈丹丹，顾爱春主审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本书出售、求购地址：https://www.jiaokey.com/book/detail/14111856.html</w:t>
      </w:r>
    </w:p>
    <w:p>
      <w:r>
        <w:t>更多相关图书推荐：https://www.jiaokey.com</w:t>
      </w:r>
    </w:p>
    <w:p>
      <w:r>
        <w:t>闫春荣主编；梁英瑜，邱海萍，于晶，杨铁铮，李邦帅副主编；陈丹丹，顾爱春主审 其他作品：https://www.jiaokey.com/tag/闫春荣主编；梁英瑜，邱海萍，于晶，杨铁铮，李邦帅副主编；陈丹丹，顾爱春主审.html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关键词搜索：https://www.jiaokey.com/tag/经济法基础与应用.html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