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书名：上海2050年发展愿景  建立在信息文明、生态文明、治理文明、文化融合基础上具有影响力的全球城市</w:t>
      </w:r>
    </w:p>
    <w:p>
      <w:r>
        <w:t>作者：王战，王振著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总页数：334</w:t>
      </w:r>
    </w:p>
    <w:p>
      <w:r>
        <w:t>更多请访问教客网: www.jiaokey.com</w:t>
      </w:r>
    </w:p>
    <w:p>
      <w:r>
        <w:t>上海2050年发展愿景  建立在信息文明、生态文明、治理文明、文化融合基础上具有影响力的全球城市 评论地址：https://www.jiaokey.com/book/detail/14110020.html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