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长江中游河道崩岸机理与综合治理技术</w:t>
      </w:r>
    </w:p>
    <w:p>
      <w:r>
        <w:rPr>
          <w:rFonts w:ascii="宋体" w:hAnsi="宋体" w:eastAsia="宋体"/>
          <w:sz w:val="24"/>
        </w:rPr>
        <w:t>姚仕明，岳红艳，何广水，黎礼刚著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长江中游河道崩岸机理与综合治理技术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姚仕明，岳红艳，何广水，黎礼刚著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本书出售、求购地址：https://www.jiaokey.com/book/detail/14109688.html</w:t>
      </w:r>
    </w:p>
    <w:p>
      <w:r>
        <w:t>更多相关图书推荐：https://www.jiaokey.com</w:t>
      </w:r>
    </w:p>
    <w:p>
      <w:r>
        <w:t>姚仕明，岳红艳，何广水，黎礼刚著 其他作品：https://www.jiaokey.com/tag/姚仕明，岳红艳，何广水，黎礼刚著.html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关键词搜索：https://www.jiaokey.com/tag/长江中游河道崩岸机理与综合治理技术.html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