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世纪大决策  世纪星的波斯湾战争史如何开打的？ 白宫权利核心的决策时如何形成的？</w:t>
      </w:r>
    </w:p>
    <w:p>
      <w:r>
        <w:rPr>
          <w:rFonts w:ascii="宋体" w:hAnsi="宋体" w:eastAsia="宋体"/>
          <w:sz w:val="24"/>
        </w:rPr>
        <w:t>Bod Woodward著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世纪大决策  世纪星的波斯湾战争史如何开打的？ 白宫权利核心的决策时如何形成的？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Bod Woodward著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本书出售、求购地址：https://www.jiaokey.com/book/detail/14108619.html</w:t>
      </w:r>
    </w:p>
    <w:p>
      <w:r>
        <w:t>更多相关图书推荐：https://www.jiaokey.com</w:t>
      </w:r>
    </w:p>
    <w:p>
      <w:r>
        <w:t>Bod Woodward著 其他作品：https://www.jiaokey.com/tag/Bod Woodward著.html</w:t>
      </w:r>
    </w:p>
    <w:p>
      <w:r>
        <w:t>关键词搜索：https://www.jiaokey.com/tag/世纪大决策  世纪星的波斯湾战争史如何开打的？ 白宫权利核心的决策时如何形成的？.html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