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申请专利范围的解释与专利侵害判断</w:t>
      </w:r>
    </w:p>
    <w:p>
      <w:r>
        <w:rPr>
          <w:rFonts w:ascii="宋体" w:hAnsi="宋体" w:eastAsia="宋体"/>
          <w:sz w:val="24"/>
        </w:rPr>
        <w:t>黄文仪著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申请专利范围的解释与专利侵害判断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本书出售、求购地址：https://www.jiaokey.com/book/detail/14108607.html</w:t>
      </w:r>
    </w:p>
    <w:p>
      <w:r>
        <w:t>更多相关图书推荐：https://www.jiaokey.com</w:t>
      </w:r>
    </w:p>
    <w:p>
      <w:r>
        <w:t>黄文仪著 其他作品：https://www.jiaokey.com/tag/黄文仪著.html</w:t>
      </w:r>
    </w:p>
    <w:p>
      <w:r>
        <w:t>三民书局 出版图书：https://www.jiaokey.com/tag/三民书局.html</w:t>
      </w:r>
    </w:p>
    <w:p>
      <w:r>
        <w:t>关键词搜索：https://www.jiaokey.com/tag/申请专利范围的解释与专利侵害判断.html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