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孔子也哭泣  青少年犯罪案例与预防</w:t>
      </w:r>
    </w:p>
    <w:p>
      <w:r>
        <w:rPr>
          <w:rFonts w:ascii="宋体" w:hAnsi="宋体" w:eastAsia="宋体"/>
          <w:sz w:val="24"/>
        </w:rPr>
        <w:t>郑正忠等合著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孔子也哭泣  青少年犯罪案例与预防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郑正忠等合著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本书出售、求购地址：https://www.jiaokey.com/book/detail/14108601.html</w:t>
      </w:r>
    </w:p>
    <w:p>
      <w:r>
        <w:t>更多相关图书推荐：https://www.jiaokey.com</w:t>
      </w:r>
    </w:p>
    <w:p>
      <w:r>
        <w:t>郑正忠等合著 其他作品：https://www.jiaokey.com/tag/郑正忠等合著.html</w:t>
      </w:r>
    </w:p>
    <w:p>
      <w:r>
        <w:t>正中书局 出版图书：https://www.jiaokey.com/tag/正中书局.html</w:t>
      </w:r>
    </w:p>
    <w:p>
      <w:r>
        <w:t>关键词搜索：https://www.jiaokey.com/tag/孔子也哭泣  青少年犯罪案例与预防.html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