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亚太地区新CNS/ATM系统规划</w:t>
      </w:r>
    </w:p>
    <w:p>
      <w:r>
        <w:rPr>
          <w:rFonts w:ascii="宋体" w:hAnsi="宋体" w:eastAsia="宋体"/>
          <w:sz w:val="24"/>
        </w:rPr>
        <w:t>国际民航组织亚太办公室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亚太地区新CNS/ATM系统规划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国际民航组织亚太办公室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中国民用航空总局空中交通管理局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本书出售、求购地址：https://www.jiaokey.com/book/detail/14105491.html</w:t>
      </w:r>
    </w:p>
    <w:p>
      <w:r>
        <w:t>更多相关图书推荐：https://www.jiaokey.com</w:t>
      </w:r>
    </w:p>
    <w:p>
      <w:r>
        <w:t>国际民航组织亚太办公室 其他作品：https://www.jiaokey.com/tag/国际民航组织亚太办公室.html</w:t>
      </w:r>
    </w:p>
    <w:p>
      <w:r>
        <w:t>中国民用航空总局空中交通管理局 出版图书：https://www.jiaokey.com/tag/中国民用航空总局空中交通管理局.html</w:t>
      </w:r>
    </w:p>
    <w:p>
      <w:r>
        <w:t>关键词搜索：https://www.jiaokey.com/tag/亚太地区新CNS/ATM系统规划.html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