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空中规则和空中交通服务</w:t>
      </w:r>
    </w:p>
    <w:p>
      <w:r>
        <w:rPr>
          <w:rFonts w:ascii="宋体" w:hAnsi="宋体" w:eastAsia="宋体"/>
          <w:sz w:val="24"/>
        </w:rPr>
        <w:t>陈绪华，陈敏翻译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空中规则和空中交通服务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陈绪华，陈敏翻译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国际民用航空组织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本书出售、求购地址：https://www.jiaokey.com/book/detail/14105490.html</w:t>
      </w:r>
    </w:p>
    <w:p>
      <w:r>
        <w:t>更多相关图书推荐：https://www.jiaokey.com</w:t>
      </w:r>
    </w:p>
    <w:p>
      <w:r>
        <w:t>陈绪华，陈敏翻译 其他作品：https://www.jiaokey.com/tag/陈绪华，陈敏翻译.html</w:t>
      </w:r>
    </w:p>
    <w:p>
      <w:r>
        <w:t>国际民用航空组织 出版图书：https://www.jiaokey.com/tag/国际民用航空组织.html</w:t>
      </w:r>
    </w:p>
    <w:p>
      <w:r>
        <w:t>关键词搜索：https://www.jiaokey.com/tag/空中规则和空中交通服务.html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