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行政程序法裁判要旨汇编  5</w:t>
      </w:r>
    </w:p>
    <w:p>
      <w:r>
        <w:rPr>
          <w:rFonts w:ascii="宋体" w:hAnsi="宋体" w:eastAsia="宋体"/>
          <w:sz w:val="24"/>
        </w:rPr>
        <w:t>法务部法律事务司编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行政程序法裁判要旨汇编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法务部法律事务司编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本书出售、求购地址：https://www.jiaokey.com/book/detail/14105232.html</w:t>
      </w:r>
    </w:p>
    <w:p>
      <w:r>
        <w:t>更多相关图书推荐：https://www.jiaokey.com</w:t>
      </w:r>
    </w:p>
    <w:p>
      <w:r>
        <w:t>法务部法律事务司编 其他作品：https://www.jiaokey.com/tag/法务部法律事务司编.html</w:t>
      </w:r>
    </w:p>
    <w:p>
      <w:r>
        <w:t>法务部 出版图书：https://www.jiaokey.com/tag/法务部.html</w:t>
      </w:r>
    </w:p>
    <w:p>
      <w:r>
        <w:t>关键词搜索：https://www.jiaokey.com/tag/行政程序法裁判要旨汇编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