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跨域经济犯罪与证券交易刑事规制</w:t>
      </w:r>
    </w:p>
    <w:p>
      <w:r>
        <w:rPr>
          <w:rFonts w:ascii="宋体" w:hAnsi="宋体" w:eastAsia="宋体"/>
          <w:sz w:val="24"/>
        </w:rPr>
        <w:t>靳宗立著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跨域经济犯罪与证券交易刑事规制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集义阁出版社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本书出售、求购地址：https://www.jiaokey.com/book/detail/14105208.html</w:t>
      </w:r>
    </w:p>
    <w:p>
      <w:r>
        <w:t>更多相关图书推荐：https://www.jiaokey.com</w:t>
      </w:r>
    </w:p>
    <w:p>
      <w:r>
        <w:t>靳宗立著 其他作品：https://www.jiaokey.com/tag/靳宗立著.html</w:t>
      </w:r>
    </w:p>
    <w:p>
      <w:r>
        <w:t>集义阁出版社 出版图书：https://www.jiaokey.com/tag/集义阁出版社.html</w:t>
      </w:r>
    </w:p>
    <w:p>
      <w:r>
        <w:t>关键词搜索：https://www.jiaokey.com/tag/跨域经济犯罪与证券交易刑事规制.html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