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网际网路与电子商务法律策略</w:t>
      </w:r>
    </w:p>
    <w:p>
      <w:r>
        <w:rPr>
          <w:rFonts w:ascii="宋体" w:hAnsi="宋体" w:eastAsia="宋体"/>
          <w:sz w:val="24"/>
        </w:rPr>
        <w:t>刘尚志，陈佳麟著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网际网路与电子商务法律策略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刘尚志，陈佳麟著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本书出售、求购地址：https://www.jiaokey.com/book/detail/14105155.html</w:t>
      </w:r>
    </w:p>
    <w:p>
      <w:r>
        <w:t>更多相关图书推荐：https://www.jiaokey.com</w:t>
      </w:r>
    </w:p>
    <w:p>
      <w:r>
        <w:t>刘尚志，陈佳麟著 其他作品：https://www.jiaokey.com/tag/刘尚志，陈佳麟著.html</w:t>
      </w:r>
    </w:p>
    <w:p>
      <w:r>
        <w:t>元照出版社有限公司 出版图书：https://www.jiaokey.com/tag/元照出版社有限公司.html</w:t>
      </w:r>
    </w:p>
    <w:p>
      <w:r>
        <w:t>关键词搜索：https://www.jiaokey.com/tag/网际网路与电子商务法律策略.html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