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谋圣鬼谷子</w:t>
      </w:r>
    </w:p>
    <w:p>
      <w:r>
        <w:rPr>
          <w:rFonts w:ascii="宋体" w:hAnsi="宋体" w:eastAsia="宋体"/>
          <w:sz w:val="24"/>
        </w:rPr>
        <w:t>刘树生，邓一凡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3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谋圣鬼谷子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刘树生，邓一凡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本书出售、求购地址：https://www.jiaokey.com/book/detail/14103771.html</w:t>
      </w:r>
    </w:p>
    <w:p>
      <w:r>
        <w:t>更多相关图书推荐：https://www.jiaokey.com</w:t>
      </w:r>
    </w:p>
    <w:p>
      <w:r>
        <w:t>刘树生，邓一凡 其他作品：https://www.jiaokey.com/tag/刘树生，邓一凡.html</w:t>
      </w:r>
    </w:p>
    <w:p>
      <w:r>
        <w:t>中国广播影视出版社,2016.10 出版图书：https://www.jiaokey.com/tag/中国广播影视出版社,2016.10.html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