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难加工材料高效加工技术</w:t>
      </w:r>
    </w:p>
    <w:p>
      <w:r>
        <w:rPr>
          <w:rFonts w:ascii="宋体" w:hAnsi="宋体" w:eastAsia="宋体"/>
          <w:sz w:val="24"/>
        </w:rPr>
        <w:t>傅玉灿主编；傅玉灿，苏宏华，丁文锋，陈燕，杨长勇编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难加工材料高效加工技术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傅玉灿主编；傅玉灿，苏宏华，丁文锋，陈燕，杨长勇编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本书出售、求购地址：https://www.jiaokey.com/book/detail/14103696.html</w:t>
      </w:r>
    </w:p>
    <w:p>
      <w:r>
        <w:t>更多相关图书推荐：https://www.jiaokey.com</w:t>
      </w:r>
    </w:p>
    <w:p>
      <w:r>
        <w:t>傅玉灿主编；傅玉灿，苏宏华，丁文锋，陈燕，杨长勇编 其他作品：https://www.jiaokey.com/tag/傅玉灿主编；傅玉灿，苏宏华，丁文锋，陈燕，杨长勇编.html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关键词搜索：https://www.jiaokey.com/tag/难加工材料高效加工技术.html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