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国际商务仲裁理论与发展</w:t>
      </w:r>
    </w:p>
    <w:p>
      <w:r>
        <w:rPr>
          <w:rFonts w:ascii="宋体" w:hAnsi="宋体" w:eastAsia="宋体"/>
          <w:sz w:val="24"/>
        </w:rPr>
        <w:t>吴光明，俞鸿玲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国际商务仲裁理论与发展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吴光明，俞鸿玲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韩芦图书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本书出售、求购地址：https://www.jiaokey.com/book/detail/14102890.html</w:t>
      </w:r>
    </w:p>
    <w:p>
      <w:r>
        <w:t>更多相关图书推荐：https://www.jiaokey.com</w:t>
      </w:r>
    </w:p>
    <w:p>
      <w:r>
        <w:t>吴光明，俞鸿玲 其他作品：https://www.jiaokey.com/tag/吴光明，俞鸿玲.html</w:t>
      </w:r>
    </w:p>
    <w:p>
      <w:r>
        <w:t>韩芦图书 出版图书：https://www.jiaokey.com/tag/韩芦图书.html</w:t>
      </w:r>
    </w:p>
    <w:p>
      <w:r>
        <w:t>关键词搜索：https://www.jiaokey.com/tag/国际商务仲裁理论与发展.html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