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毛泽东思想和中国特色社会主义理论体系概论视野导读</w:t>
      </w:r>
    </w:p>
    <w:p>
      <w:r>
        <w:rPr>
          <w:rFonts w:ascii="宋体" w:hAnsi="宋体" w:eastAsia="宋体"/>
          <w:sz w:val="24"/>
        </w:rPr>
        <w:t>刘黎主编；魏万磊，郭岱光，周亚同副主编；张冬泳，白丽娜，戴秀漪，张诺诺，晁玉蓉参编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毛泽东思想和中国特色社会主义理论体系概论视野导读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刘黎主编；魏万磊，郭岱光，周亚同副主编；张冬泳，白丽娜，戴秀漪，张诺诺，晁玉蓉参编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本书出售、求购地址：https://www.jiaokey.com/book/detail/14101683.html</w:t>
      </w:r>
    </w:p>
    <w:p>
      <w:r>
        <w:t>更多相关图书推荐：https://www.jiaokey.com</w:t>
      </w:r>
    </w:p>
    <w:p>
      <w:r>
        <w:t>刘黎主编；魏万磊，郭岱光，周亚同副主编；张冬泳，白丽娜，戴秀漪，张诺诺，晁玉蓉参编 其他作品：https://www.jiaokey.com/tag/刘黎主编；魏万磊，郭岱光，周亚同副主编；张冬泳，白丽娜，戴秀漪，张诺诺，晁玉蓉参编.html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关键词搜索：https://www.jiaokey.com/tag/毛泽东思想和中国特色社会主义理论体系概论视野导读.html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