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</w:t>
      </w:r>
    </w:p>
    <w:p>
      <w:r>
        <w:rPr>
          <w:rFonts w:ascii="宋体" w:hAnsi="宋体" w:eastAsia="宋体"/>
          <w:sz w:val="24"/>
        </w:rPr>
        <w:t>黄惟清总主编；杨燕玲，吴红玲主编；周晓琳，侯敏，蔡东升副主编；刘佳，吴红玲，周晓琳等编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黄惟清总主编；杨燕玲，吴红玲主编；周晓琳，侯敏，蔡东升副主编；刘佳，吴红玲，周晓琳等编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本书出售、求购地址：https://www.jiaokey.com/book/detail/14098277.html</w:t>
      </w:r>
    </w:p>
    <w:p>
      <w:r>
        <w:t>更多相关图书推荐：https://www.jiaokey.com</w:t>
      </w:r>
    </w:p>
    <w:p>
      <w:r>
        <w:t>黄惟清总主编；杨燕玲，吴红玲主编；周晓琳，侯敏，蔡东升副主编；刘佳，吴红玲，周晓琳等编 其他作品：https://www.jiaokey.com/tag/黄惟清总主编；杨燕玲，吴红玲主编；周晓琳，侯敏，蔡东升副主编；刘佳，吴红玲，周晓琳等编.html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