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慈溪黄氏日抄分类97卷  古今纪要19卷</w:t>
      </w:r>
    </w:p>
    <w:p>
      <w:r>
        <w:rPr>
          <w:rFonts w:ascii="宋体" w:hAnsi="宋体" w:eastAsia="宋体"/>
          <w:sz w:val="24"/>
        </w:rPr>
        <w:t>（宋）黄震编辑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慈溪黄氏日抄分类97卷  古今纪要19卷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新安汪氏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本书出售、求购地址：https://www.jiaokey.com/book/detail/14096209.html</w:t>
      </w:r>
    </w:p>
    <w:p>
      <w:r>
        <w:t>更多相关图书推荐：https://www.jiaokey.com</w:t>
      </w:r>
    </w:p>
    <w:p>
      <w:r>
        <w:t>（宋）黄震编辑 其他作品：https://www.jiaokey.com/tag/（宋）黄震编辑.html</w:t>
      </w:r>
    </w:p>
    <w:p>
      <w:r>
        <w:t>新安汪氏 出版图书：https://www.jiaokey.com/tag/新安汪氏.html</w:t>
      </w:r>
    </w:p>
    <w:p>
      <w:r>
        <w:t>关键词搜索：https://www.jiaokey.com/tag/慈溪黄氏日抄分类97卷  古今纪要19卷.html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