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  历史、逻辑和未来  振兴中华变革论</w:t>
      </w:r>
    </w:p>
    <w:p>
      <w:r>
        <w:rPr>
          <w:rFonts w:ascii="宋体" w:hAnsi="宋体" w:eastAsia="宋体"/>
          <w:sz w:val="24"/>
        </w:rPr>
        <w:t>田国强，陈旭东著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  历史、逻辑和未来  振兴中华变革论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田国强，陈旭东著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本书出售、求购地址：https://www.jiaokey.com/book/detail/14095103.html</w:t>
      </w:r>
    </w:p>
    <w:p>
      <w:r>
        <w:t>更多相关图书推荐：https://www.jiaokey.com</w:t>
      </w:r>
    </w:p>
    <w:p>
      <w:r>
        <w:t>田国强，陈旭东著 其他作品：https://www.jiaokey.com/tag/田国强，陈旭东著.html</w:t>
      </w:r>
    </w:p>
    <w:p>
      <w:r>
        <w:t>中信出版集团 出版图书：https://www.jiaokey.com/tag/中信出版集团.html</w:t>
      </w:r>
    </w:p>
    <w:p>
      <w:r>
        <w:t>关键词搜索：https://www.jiaokey.com/tag/中国改革  历史、逻辑和未来  振兴中华变革论.html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