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就业选配、工资差距与失业</w:t>
      </w:r>
    </w:p>
    <w:p>
      <w:r>
        <w:rPr>
          <w:rFonts w:ascii="宋体" w:hAnsi="宋体" w:eastAsia="宋体"/>
          <w:sz w:val="24"/>
        </w:rPr>
        <w:t>（美）戴尔·莫滕森（Dale T.Mortensen），（塞浦）克里斯托弗·皮萨里德斯（Christopher A.Pissarides）著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就业选配、工资差距与失业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（美）戴尔·莫滕森（Dale T.Mortensen），（塞浦）克里斯托弗·皮萨里德斯（Christopher A.Pissarides）著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本书出售、求购地址：https://www.jiaokey.com/book/detail/14094065.html</w:t>
      </w:r>
    </w:p>
    <w:p>
      <w:r>
        <w:t>更多相关图书推荐：https://www.jiaokey.com</w:t>
      </w:r>
    </w:p>
    <w:p>
      <w:r>
        <w:t>（美）戴尔·莫滕森（Dale T.Mortensen），（塞浦）克里斯托弗·皮萨里德斯（Christopher A.Pissarides）著 其他作品：https://www.jiaokey.com/tag/（美）戴尔·莫滕森（Dale T.Mortensen），（塞浦）克里斯托弗·皮萨里德斯（Christopher A.Pissarides）著.html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关键词搜索：https://www.jiaokey.com/tag/就业选配、工资差距与失业.html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