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商务礼仪与职业形象</w:t>
      </w:r>
    </w:p>
    <w:p>
      <w:r>
        <w:rPr>
          <w:rFonts w:ascii="宋体" w:hAnsi="宋体" w:eastAsia="宋体"/>
          <w:sz w:val="24"/>
        </w:rPr>
        <w:t>黎明主编；傅航，吴玉立，张民副主编；张益林，谭新兰，杨金铎编著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商务礼仪与职业形象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黎明主编；傅航，吴玉立，张民副主编；张益林，谭新兰，杨金铎编著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本书出售、求购地址：https://www.jiaokey.com/book/detail/14092293.html</w:t>
      </w:r>
    </w:p>
    <w:p>
      <w:r>
        <w:t>更多相关图书推荐：https://www.jiaokey.com</w:t>
      </w:r>
    </w:p>
    <w:p>
      <w:r>
        <w:t>黎明主编；傅航，吴玉立，张民副主编；张益林，谭新兰，杨金铎编著 其他作品：https://www.jiaokey.com/tag/黎明主编；傅航，吴玉立，张民副主编；张益林，谭新兰，杨金铎编著.html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关键词搜索：https://www.jiaokey.com/tag/商务礼仪与职业形象.html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