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</w:t>
      </w:r>
    </w:p>
    <w:p>
      <w:r>
        <w:rPr>
          <w:rFonts w:ascii="宋体" w:hAnsi="宋体" w:eastAsia="宋体"/>
          <w:sz w:val="24"/>
        </w:rPr>
        <w:t>孙建忠，刘凤春主编；曲兵妮，牟宪民，任齐，陈燕，许春雨参编；陈希有主审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孙建忠，刘凤春主编；曲兵妮，牟宪民，任齐，陈燕，许春雨参编；陈希有主审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本书出售、求购地址：https://www.jiaokey.com/book/detail/14091003.html</w:t>
      </w:r>
    </w:p>
    <w:p>
      <w:r>
        <w:t>更多相关图书推荐：https://www.jiaokey.com</w:t>
      </w:r>
    </w:p>
    <w:p>
      <w:r>
        <w:t>孙建忠，刘凤春主编；曲兵妮，牟宪民，任齐，陈燕，许春雨参编；陈希有主审 其他作品：https://www.jiaokey.com/tag/孙建忠，刘凤春主编；曲兵妮，牟宪民，任齐，陈燕，许春雨参编；陈希有主审.html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关键词搜索：https://www.jiaokey.com/tag/电机与拖动.html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