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印度二十一世纪海军战略</w:t>
      </w:r>
    </w:p>
    <w:p>
      <w:r>
        <w:rPr>
          <w:rFonts w:ascii="宋体" w:hAnsi="宋体" w:eastAsia="宋体"/>
          <w:sz w:val="24"/>
        </w:rPr>
        <w:t>（美）詹姆斯·R.福尔摩斯，（美）安珠·C.温特，（美）古原恒淑著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印度二十一世纪海军战略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（美）詹姆斯·R.福尔摩斯，（美）安珠·C.温特，（美）古原恒淑著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本书出售、求购地址：https://www.jiaokey.com/book/detail/14090624.html</w:t>
      </w:r>
    </w:p>
    <w:p>
      <w:r>
        <w:t>更多相关图书推荐：https://www.jiaokey.com</w:t>
      </w:r>
    </w:p>
    <w:p>
      <w:r>
        <w:t>（美）詹姆斯·R.福尔摩斯，（美）安珠·C.温特，（美）古原恒淑著 其他作品：https://www.jiaokey.com/tag/（美）詹姆斯·R.福尔摩斯，（美）安珠·C.温特，（美）古原恒淑著.html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关键词搜索：https://www.jiaokey.com/tag/印度二十一世纪海军战略.html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