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商事法论集  第28卷</w:t>
      </w:r>
    </w:p>
    <w:p>
      <w:r>
        <w:rPr>
          <w:rFonts w:ascii="宋体" w:hAnsi="宋体" w:eastAsia="宋体"/>
          <w:sz w:val="24"/>
        </w:rPr>
        <w:t>清华大学商法研究中心编；朱慈蕴主编；汤欣副主编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商事法论集  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清华大学商法研究中心编；朱慈蕴主编；汤欣副主编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本书出售、求购地址：https://www.jiaokey.com/book/detail/14089981.html</w:t>
      </w:r>
    </w:p>
    <w:p>
      <w:r>
        <w:t>更多相关图书推荐：https://www.jiaokey.com</w:t>
      </w:r>
    </w:p>
    <w:p>
      <w:r>
        <w:t>清华大学商法研究中心编；朱慈蕴主编；汤欣副主编 其他作品：https://www.jiaokey.com/tag/清华大学商法研究中心编；朱慈蕴主编；汤欣副主编.html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关键词搜索：https://www.jiaokey.com/tag/商事法论集  第28卷.html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