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建设法规与案例分析</w:t>
      </w:r>
    </w:p>
    <w:p>
      <w:r>
        <w:rPr>
          <w:rFonts w:ascii="宋体" w:hAnsi="宋体" w:eastAsia="宋体"/>
          <w:sz w:val="24"/>
        </w:rPr>
        <w:t>鲁刚宁主编；曾仁书主审；程媛，李化，陈丽等副主编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鲁刚宁主编；曾仁书主审；程媛，李化，陈丽等副主编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本书出售、求购地址：https://www.jiaokey.com/book/detail/14089444.html</w:t>
      </w:r>
    </w:p>
    <w:p>
      <w:r>
        <w:t>更多相关图书推荐：https://www.jiaokey.com</w:t>
      </w:r>
    </w:p>
    <w:p>
      <w:r>
        <w:t>鲁刚宁主编；曾仁书主审；程媛，李化，陈丽等副主编 其他作品：https://www.jiaokey.com/tag/鲁刚宁主编；曾仁书主审；程媛，李化，陈丽等副主编.html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关键词搜索：https://www.jiaokey.com/tag/建设法规与案例分析.html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