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马萨诸塞州司法行为准则</w:t>
      </w:r>
    </w:p>
    <w:p>
      <w:r>
        <w:rPr>
          <w:rFonts w:ascii="宋体" w:hAnsi="宋体" w:eastAsia="宋体"/>
          <w:sz w:val="24"/>
        </w:rPr>
        <w:t>张保生，曹佳，柴鹏，祁蒙，郑派虹译；满运龙审校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马萨诸塞州司法行为准则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张保生，曹佳，柴鹏，祁蒙，郑派虹译；满运龙审校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本书出售、求购地址：https://www.jiaokey.com/book/detail/14085353.html</w:t>
      </w:r>
    </w:p>
    <w:p>
      <w:r>
        <w:t>更多相关图书推荐：https://www.jiaokey.com</w:t>
      </w:r>
    </w:p>
    <w:p>
      <w:r>
        <w:t>张保生，曹佳，柴鹏，祁蒙，郑派虹译；满运龙审校 其他作品：https://www.jiaokey.com/tag/张保生，曹佳，柴鹏，祁蒙，郑派虹译；满运龙审校.html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关键词搜索：https://www.jiaokey.com/tag/马萨诸塞州司法行为准则.html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