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语法中的功能限制  非作格-非宾格对立</w:t>
      </w:r>
    </w:p>
    <w:p>
      <w:r>
        <w:rPr>
          <w:rFonts w:ascii="宋体" w:hAnsi="宋体" w:eastAsia="宋体"/>
          <w:sz w:val="24"/>
        </w:rPr>
        <w:t>（美）久野暲（Susumu Kuno），（日）高见健一（Ken ichi Takami）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语法中的功能限制  非作格-非宾格对立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（美）久野暲（Susumu Kuno），（日）高见健一（Ken ichi Takami）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本书出售、求购地址：https://www.jiaokey.com/book/detail/14085234.html</w:t>
      </w:r>
    </w:p>
    <w:p>
      <w:r>
        <w:t>更多相关图书推荐：https://www.jiaokey.com</w:t>
      </w:r>
    </w:p>
    <w:p>
      <w:r>
        <w:t>（美）久野暲（Susumu Kuno），（日）高见健一（Ken ichi Takami） 其他作品：https://www.jiaokey.com/tag/（美）久野暲（Susumu Kuno），（日）高见健一（Ken ichi Takami）.html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关键词搜索：https://www.jiaokey.com/tag/语法中的功能限制  非作格-非宾格对立.html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