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世界银行自然人破产问题处理报告</w:t>
      </w:r>
    </w:p>
    <w:p>
      <w:r>
        <w:rPr>
          <w:rFonts w:ascii="宋体" w:hAnsi="宋体" w:eastAsia="宋体"/>
          <w:sz w:val="24"/>
        </w:rPr>
        <w:t>自然人破产处理工作小组起草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世界银行自然人破产问题处理报告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自然人破产处理工作小组起草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本书出售、求购地址：https://www.jiaokey.com/book/detail/14085190.html</w:t>
      </w:r>
    </w:p>
    <w:p>
      <w:r>
        <w:t>更多相关图书推荐：https://www.jiaokey.com</w:t>
      </w:r>
    </w:p>
    <w:p>
      <w:r>
        <w:t>自然人破产处理工作小组起草 其他作品：https://www.jiaokey.com/tag/自然人破产处理工作小组起草.html</w:t>
      </w:r>
    </w:p>
    <w:p>
      <w:r>
        <w:t>关键词搜索：https://www.jiaokey.com/tag/世界银行自然人破产问题处理报告.html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