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</w:t>
      </w:r>
    </w:p>
    <w:p>
      <w:r>
        <w:rPr>
          <w:rFonts w:ascii="宋体" w:hAnsi="宋体" w:eastAsia="宋体"/>
          <w:sz w:val="24"/>
        </w:rPr>
        <w:t>周祥萍主编；孙士英，崔凤娟，陈鹏副主编；李德信主审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周祥萍主编；孙士英，崔凤娟，陈鹏副主编；李德信主审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本书出售、求购地址：https://www.jiaokey.com/book/detail/14082414.html</w:t>
      </w:r>
    </w:p>
    <w:p>
      <w:r>
        <w:t>更多相关图书推荐：https://www.jiaokey.com</w:t>
      </w:r>
    </w:p>
    <w:p>
      <w:r>
        <w:t>周祥萍主编；孙士英，崔凤娟，陈鹏副主编；李德信主审 其他作品：https://www.jiaokey.com/tag/周祥萍主编；孙士英，崔凤娟，陈鹏副主编；李德信主审.html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关键词搜索：https://www.jiaokey.com/tag/交直流调速.html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